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61" w:rsidRDefault="00C84B61">
      <w:r>
        <w:t xml:space="preserve">Ссылка на постановление №898: </w:t>
      </w:r>
      <w:hyperlink r:id="rId4" w:history="1">
        <w:r w:rsidRPr="008034B6">
          <w:rPr>
            <w:rStyle w:val="a5"/>
          </w:rPr>
          <w:t>http://government.ru/media/files/dWJqJf6oKAFkjmVEcLVxql5dVCEnAfKH.pdf</w:t>
        </w:r>
      </w:hyperlink>
    </w:p>
    <w:p w:rsidR="00C84B61" w:rsidRDefault="00C84B61"/>
    <w:p w:rsidR="001D52CF" w:rsidRDefault="007B2D02">
      <w:r>
        <w:t>Ссылка</w:t>
      </w:r>
      <w:r w:rsidR="00C84B61">
        <w:t xml:space="preserve"> на ФЗ №261</w:t>
      </w:r>
      <w:r>
        <w:t xml:space="preserve">: </w:t>
      </w:r>
      <w:hyperlink r:id="rId5" w:history="1">
        <w:r w:rsidRPr="008034B6">
          <w:rPr>
            <w:rStyle w:val="a5"/>
          </w:rPr>
          <w:t>http://economy.gov.ru/minec/documents/doc1259754338763</w:t>
        </w:r>
      </w:hyperlink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Федеральный закон от 23 ноября 2009 г. №261-ФЗ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«Об энергосбережении и повышении энергетической эффективности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и о внесении изменений в отдельные законодательные акты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Российской Федерации»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Принят Государственной Думой 11 ноября 2009 г.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Одобрен Советом Федерации 18 ноября 2009 г.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Подписан Президентом Российской Федерации Д.А. Медведевым 23 ноября 2009 г.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Опубликован в «Российской газете» 27 ноября 2009 г.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Вступает в силу со дня опубликования.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Основные положения: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1. Запрет на оборот энергорасточительных товаров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Возможность введения запретов или ограничения производства и оборота товаров, имеющих низкую энергетическую эффективность, при наличии достаточного предложения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товаров-заменителей. 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2. Ограничения на оборот ламп накаливания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Вводится запрет на производство, импорт, продажу с 1 января 2011 года ламп накаливания мощностью 100 Вт и более.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Вводится запрет закупок для государственных и муниципальных нужд ламп накаливания всех типов для целей освещения с 1 января 2011 года.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Указывается ориентировочный срок возможного запрета на производство, импортирование, продажу - с 2013 года ламп накаливания мощностью 75 Вт и более, а с 2014 года - мощностью 25 Вт и более.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Правительство РФ до 1 марта 2010 г. должно установить требования к осветительным устройствам и электрическим лампам, принять правила утилизации использованных ламп, отходы которых могут нанести вред окружающей среде или здоровью, а также разработать государственную программу утилизации таких ламп, которая должна заработать уже с 1 января 2011 г.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3. Маркировка товаров по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Вводится требование для производителей и импортеров маркировать продукцию по классам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 2011 г. - все бытовые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энергопотребляющие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устройства;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2012 г. – компьютерную и оргтехнику;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2013 года и далее – иные товары по решению Правительства Российской Федерации.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4. Требования по переходу на расчеты за энергоресурсы по приборам учета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 1 января 2011 г. все юридические лица, госучреждения должны быть оснащены приборами учета энергетических ресурсов и не позднее, чем через месяц после их установки рассчитываться за потребленный ресурс на основании данных приборов учета.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 1 января 2012 г. все собственники жилых домов и квартир в многоквартирных домах должны иметь приборы учета как для дома в целом, так и для каждой квартиры (кроме тепловой энергии) с правом обратиться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ресурсоснабжающую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установкой приборов учета на условиях рассрочки платежа на 5 лет.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всех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организаций вводится требование об организации с 1 июля 2010 г. деятельности по установке и эксплуатации </w:t>
      </w:r>
      <w:r>
        <w:rPr>
          <w:rFonts w:ascii="Arial" w:hAnsi="Arial" w:cs="Arial"/>
          <w:color w:val="000000"/>
          <w:sz w:val="26"/>
          <w:szCs w:val="26"/>
        </w:rPr>
        <w:lastRenderedPageBreak/>
        <w:t>приборов учета поставляемого ими ресурса для обслуживаемых ими потребителей.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потребитель в срок не установил прибор учета,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ресурсоснабжающая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организация в течение года обязана установить такой прибор учета, а потребитель оплатить связанные с этим расходы равными долями в течение 5 лет.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5. Требования по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к новым зданиям, строениям, сооружениям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Все здания, строения, сооружения (кроме индивидуального строительства, культовых зданий и малых зданий), вводимые в эксплуатацию после нового строительства, должны соответствовать требованиям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как в момент ввода в эксплуатацию, так и в процессе эксплуатации здания и быть оснащены приборами учета энергоресурсов.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Требования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утверждаются федеральным органом исполнительной власти (Минрегионразвития России) в соответствии с Правилами, утверждаемыми Правительством Российской Федерации. В целях обеспечения скорейшего перехода 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энергоэффективным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технологиям Правительство Российской Федерации вправе установить первоочередные требования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самих Правилах.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отношении новых многоквартирных домов вводится также требование определения класса его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размещения информации о классе на фасаде многоквартирного дома.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6. Требования к содержанию общего имущества многоквартирных домов, рекомендации к садоводческим, огородническим и дачным объединениям граждан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Правила содержания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общедомового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имущества собственниками квартир в многоквартирном доме добавляются обязательные мероприятия по энергосбережению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Такие мероприятия утверждаются органами исполнительной власти субъектов Российской Федерации на основании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принципов, установленных Правительством Российской Федерации и могут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включать, например: наличие двойной входной двери в подъезде, имеющей доводчик, наличие устройств, </w:t>
      </w:r>
      <w:r>
        <w:rPr>
          <w:rFonts w:ascii="Arial" w:hAnsi="Arial" w:cs="Arial"/>
          <w:color w:val="000000"/>
          <w:sz w:val="26"/>
          <w:szCs w:val="26"/>
        </w:rPr>
        <w:lastRenderedPageBreak/>
        <w:t>регулирующих освещение в подъезде, наличие уплотнителей на окнах, входных дверях.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общего имущества садоводческих, огороднических и дачных объединений граждан федеральный орган исполнительной власти – Минрегионразвития России устанавливает перечень рекомендуемых мероприятий, который может быть дополнен органами исполнительной власти субъектов Российской Федерации.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7. Обязательные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энергообследования</w:t>
      </w:r>
      <w:proofErr w:type="spellEnd"/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Органы государственной власти и местного самоуправления, регулируемые организации, организации с не менее, чем контрольным участием государства или муниципального образования, предприятия ТЭК, организации, ежегодные затраты которых на потребление энергоресурсов составляют более десяти миллионов руб., обязаны до 2012 и далее не менее 1 раза в 5 лет проводить энергетические обследования.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Энергообследования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проводятся специализированными организациями – членами СРО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энергообследованиям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Цели – сбор и обработка данных об использовании энергоресурсов, расчет потенциальной экономии и составление необходимых мероприятий по энергосбережению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 результатам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энергообследования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специализированная организация предоставляет заказчику паспорт, а копию направляет в уполномоченный федеральный орган исполнительной власти (Минэнерго России), который устанавливает требования к паспорту. Информацию не указанную в паспорте, исполнитель передает заказчику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энергообследования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форме отчета.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8. Бюджетные учреждения и закупки для государственных и муниципальных нужд (далее –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госзакупки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>)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Вводится требование для всех бюджетных учреждений с 2010 года ежегодно в течение 5 лет сокращать на 3% по отношению к уровню 2009 г. потребляемые ими энергетические ресурсы.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С 1 января 2011 года запрещено для государственных и муниципальных нужд закупать лампы накаливания любой мощности, используемые в целях освещения.</w:t>
      </w:r>
      <w:r>
        <w:rPr>
          <w:rFonts w:ascii="Arial" w:hAnsi="Arial" w:cs="Arial"/>
          <w:color w:val="000000"/>
          <w:sz w:val="26"/>
          <w:szCs w:val="26"/>
        </w:rPr>
        <w:br/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Федеральный орган исполнительной власти утверждает список товаров, работ, услуг, при проведении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госзакупок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которых должны учитываться характеристики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части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госзакупок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Правительство РФ должно утвердить минимальные требования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 закупаемым товарам, работам, услугам (например, покупка бытовой и оргтехники классом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 ниже первого), а также требования к условиям заключаемых государственными и муниципальными заказчиками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контрактов.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9. Программы по энергосбережению и повышению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Программы по энергосбережению и повышению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составляются всеми государственными компаниями, бюджетными учреждениями и регулируемыми организациями, а также регионами и муниципалитетами.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Законом установлены минимальные требования к программам регионов и муниципалитетов.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программах указываются целевые показатели повышения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меры по их достижению.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 xml:space="preserve">10.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Энергосервисные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договора (контракты)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Закон описывает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договора (контракты), позволяющие физическим и юридическим лицам достичь экономии энергоресурсов без вложения собственных средств, за счет средств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компании. Оплата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энергосервисному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контракту - часть стоимости сэкономленных ресурсов.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Допускается применение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договоров (контрактов), совмещенных с договорами поставки энергоресурсов (для всех, кроме государственных и муниципальных заказчиков).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Закон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устанавливает обязательные условия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контрактов, Правительство Российской Федерации устанавливает требования к условиям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контрактов для государственных и муниципальных нужд, уполномоченный федеральный орган исполнительной власти утверждает примерные условия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контрактов, совмещенных с договорами поставки энергетических ресурсов.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Закон вводит обязательства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организаций и управляющих организаций предлагать населению меры по энергосбережению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в том числе путем реализации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энергосервисных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договоров (контрактов).</w:t>
      </w:r>
      <w:r>
        <w:rPr>
          <w:rFonts w:ascii="Arial" w:hAnsi="Arial" w:cs="Arial"/>
          <w:color w:val="000000"/>
          <w:sz w:val="26"/>
          <w:szCs w:val="26"/>
        </w:rPr>
        <w:br/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11. Переход к долгосрочному тарифному регулированию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Одним из основных стимулов к повышению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естественных монополий, организаций коммунального комплекса является применение долгосрочных (на срок от 3х лет и далее) методов тарифного регулирования, включая в первую очередь метод доходности инвестированного капитала с одновременным закреплением обязательств компаний по качеству и развитию предоставляемых услуг.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таком регулировании у компаний возникают стимулы сокращать затраты, в том числе на энергоресурсы, повышать эффективность использования ресурсов, так как полученная в результате экономия сохраняется у компании и может быть использована на любые цели.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Законом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вводится возможность перехода на долгосрочное тарифное регулирование всех предприятий коммунального комплекса и предусматривается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обязательный переход на долгосрочное регулирование в следующие сроки.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электроэнергетике:  для ФСК – с 1 января 2010 г., сетевых компаний холдинга МРСК – в течение 2010 г, но не позднее 1 января 2011 года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.; 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для иных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электросетевых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компаний, а также в теплоснабжении - с 1 января </w:t>
      </w:r>
      <w:r>
        <w:rPr>
          <w:rFonts w:ascii="Arial" w:hAnsi="Arial" w:cs="Arial"/>
          <w:color w:val="000000"/>
          <w:sz w:val="26"/>
          <w:szCs w:val="26"/>
        </w:rPr>
        <w:lastRenderedPageBreak/>
        <w:t>2012 года.</w:t>
      </w:r>
      <w:r>
        <w:rPr>
          <w:rFonts w:ascii="Arial" w:hAnsi="Arial" w:cs="Arial"/>
          <w:color w:val="000000"/>
          <w:sz w:val="26"/>
          <w:szCs w:val="26"/>
        </w:rPr>
        <w:br/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12. Создание единой (межведомственной) государственной информационной системы по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энергоэффективности</w:t>
      </w:r>
      <w:proofErr w:type="spellEnd"/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целях методологической и информационно поддержки всего процесса повышения энергетической эффективности и энергосбережения создается Государственная информационная система.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 ее задачам относится: систематизация сбора и обмена информацией о потреблении энергоресурсов с федерального, регионального и муниципального уровней, получение аналитических данных о потреблении энергоресурсов и потенциале энергосбережения, и информирование субъектов, населения о возможностях энергосбережения и лучших доступных практиках энергосбережения и повышения энергетической эффективности.</w:t>
      </w:r>
      <w:proofErr w:type="gramEnd"/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13. Формы государственной поддержки энергосбережения и повышения энергетической эффективности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Закон предусматриваются такие формы господдержки, как налоговые льготы в виде возможности применения повышающих коэффициентов к норме амортизации, инвестиционного налогового кредита, а также возмещения процентов по кредитам на реализацию проектов в области энергосбережения и повышения энергетической эффективности.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14. Связь положений закона с техническим регулированием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Закон устанавливает ряд требований, содержание которых относится к техническому регулированию (требования к зданиям, к обороту продукции, маркировка, утилизация). Для обеспечения связи с законодательством о техническом регулировании предусматривается схема, когда нормы закона,  принятые в его исполнение подзаконные акты, а равно ранее принятые и не противоречащие закону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ГОСТы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действуют до момента принятия соответствующих технических регламентов.</w:t>
      </w:r>
      <w:r>
        <w:rPr>
          <w:rFonts w:ascii="Arial" w:hAnsi="Arial" w:cs="Arial"/>
          <w:color w:val="000000"/>
          <w:sz w:val="26"/>
          <w:szCs w:val="26"/>
        </w:rPr>
        <w:br/>
        <w:t> </w:t>
      </w:r>
      <w:r>
        <w:rPr>
          <w:rFonts w:ascii="Arial" w:hAnsi="Arial" w:cs="Arial"/>
          <w:color w:val="000000"/>
          <w:sz w:val="26"/>
          <w:szCs w:val="26"/>
        </w:rPr>
        <w:br/>
        <w:t>При этом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если вступивший в силу технический регламент покрывает не все сферы, которые покрывал закон и подзаконные нормативные акты, то в указанных сферах действие норм закона и подзаконных актов в качестве обязательных сохраняется.</w:t>
      </w:r>
    </w:p>
    <w:p w:rsidR="007B2D02" w:rsidRDefault="007B2D02" w:rsidP="007B2D02">
      <w:pPr>
        <w:pStyle w:val="a3"/>
        <w:spacing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Это обеспечивает оперативность принятия требований, отработку их на практике и базу для разработки технических регламентов.</w:t>
      </w:r>
    </w:p>
    <w:p w:rsidR="007B2D02" w:rsidRDefault="007B2D02"/>
    <w:sectPr w:rsidR="007B2D02" w:rsidSect="001D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2D02"/>
    <w:rsid w:val="001D52CF"/>
    <w:rsid w:val="007B2D02"/>
    <w:rsid w:val="00C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D02"/>
    <w:rPr>
      <w:b/>
      <w:bCs/>
    </w:rPr>
  </w:style>
  <w:style w:type="character" w:customStyle="1" w:styleId="apple-converted-space">
    <w:name w:val="apple-converted-space"/>
    <w:basedOn w:val="a0"/>
    <w:rsid w:val="007B2D02"/>
  </w:style>
  <w:style w:type="character" w:styleId="a5">
    <w:name w:val="Hyperlink"/>
    <w:basedOn w:val="a0"/>
    <w:uiPriority w:val="99"/>
    <w:unhideWhenUsed/>
    <w:rsid w:val="007B2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documents/doc1259754338763" TargetMode="External"/><Relationship Id="rId4" Type="http://schemas.openxmlformats.org/officeDocument/2006/relationships/hyperlink" Target="http://government.ru/media/files/dWJqJf6oKAFkjmVEcLVxql5dVCEnAf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2016-07-24T10:13:00Z</dcterms:created>
  <dcterms:modified xsi:type="dcterms:W3CDTF">2016-07-24T10:25:00Z</dcterms:modified>
</cp:coreProperties>
</file>